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1    </w:t>
      </w:r>
    </w:p>
    <w:p>
      <w:pPr>
        <w:spacing w:beforeLines="100"/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华文中宋"/>
          <w:color w:val="000000"/>
          <w:sz w:val="40"/>
          <w:szCs w:val="40"/>
          <w:lang w:eastAsia="zh-CN"/>
        </w:rPr>
        <w:t>河南省建筑业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协会团体标准立项申请书</w:t>
      </w:r>
    </w:p>
    <w:bookmarkEnd w:id="1"/>
    <w:p>
      <w:pPr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6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局部修订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0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编制标准的目的和意义及适用范围（包括技术可靠性、先进性和经济合理性）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标准的主要章节、内容框架和适用范围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参编单位名称：</w:t>
            </w: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编制经费预算总计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其中：编制单位自筹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协会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审核意见：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2022-01-12T11:37:42Z</dcterms:created>
  <dc:creator>71915</dc:creator>
  <cp:lastModifiedBy>Li.sa</cp:lastModifiedBy>
  <dcterms:modified xsi:type="dcterms:W3CDTF">2022-01-12T11:37:53Z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CEFF089E70B84F0EABE26DC67E35DEFB</vt:lpwstr>
  </property>
</Properties>
</file>