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outlineLvl w:val="9"/>
        <w:rPr>
          <w:rFonts w:hint="default" w:ascii="Nimbus Roman" w:hAnsi="Nimbus Roman" w:eastAsia="方正黑体_GBK" w:cs="方正黑体_GBK"/>
          <w:sz w:val="30"/>
          <w:szCs w:val="30"/>
          <w:lang w:val="en-US" w:eastAsia="zh-CN"/>
        </w:rPr>
      </w:pPr>
      <w:r>
        <w:rPr>
          <w:rFonts w:hint="eastAsia" w:ascii="Nimbus Roman" w:hAnsi="Nimbus Roman" w:eastAsia="方正黑体_GBK" w:cs="方正黑体_GBK"/>
          <w:sz w:val="30"/>
          <w:szCs w:val="30"/>
          <w:lang w:val="en-US" w:eastAsia="zh-CN"/>
        </w:rPr>
        <w:t>附件2</w:t>
      </w:r>
      <w:bookmarkStart w:id="0" w:name="_GoBack"/>
      <w:bookmarkEnd w:id="0"/>
    </w:p>
    <w:p>
      <w:pPr>
        <w:pStyle w:val="2"/>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仿宋_GBK"/>
          <w:sz w:val="30"/>
          <w:szCs w:val="30"/>
          <w:lang w:val="en-US" w:eastAsia="zh-CN"/>
        </w:rPr>
      </w:pPr>
    </w:p>
    <w:p>
      <w:pPr>
        <w:keepNext w:val="0"/>
        <w:keepLines w:val="0"/>
        <w:pageBreakBefore w:val="0"/>
        <w:kinsoku/>
        <w:wordWrap/>
        <w:overflowPunct/>
        <w:topLinePunct w:val="0"/>
        <w:autoSpaceDE/>
        <w:autoSpaceDN/>
        <w:bidi w:val="0"/>
        <w:adjustRightInd/>
        <w:snapToGrid/>
        <w:spacing w:line="580" w:lineRule="exact"/>
        <w:jc w:val="center"/>
        <w:rPr>
          <w:rFonts w:hint="eastAsia" w:ascii="Nimbus Roman" w:hAnsi="Nimbus Roman" w:eastAsia="方正小标宋_GBK" w:cs="方正小标宋_GBK"/>
          <w:sz w:val="36"/>
          <w:szCs w:val="36"/>
          <w:lang w:val="en-US" w:eastAsia="zh-CN"/>
        </w:rPr>
      </w:pPr>
      <w:r>
        <w:rPr>
          <w:rFonts w:hint="default" w:ascii="Nimbus Roman" w:hAnsi="Nimbus Roman" w:eastAsia="方正小标宋_GBK" w:cs="Times New Roman"/>
          <w:sz w:val="36"/>
          <w:szCs w:val="36"/>
          <w:lang w:val="en-US" w:eastAsia="zh-CN"/>
        </w:rPr>
        <w:t>2024</w:t>
      </w:r>
      <w:r>
        <w:rPr>
          <w:rFonts w:hint="eastAsia" w:ascii="Nimbus Roman" w:hAnsi="Nimbus Roman" w:eastAsia="方正小标宋_GBK" w:cs="方正小标宋_GBK"/>
          <w:sz w:val="36"/>
          <w:szCs w:val="36"/>
          <w:lang w:val="en-US" w:eastAsia="zh-CN"/>
        </w:rPr>
        <w:t>年“消费帮扶新春行动”情况统计表</w:t>
      </w:r>
    </w:p>
    <w:p>
      <w:pPr>
        <w:pStyle w:val="2"/>
        <w:keepNext w:val="0"/>
        <w:keepLines w:val="0"/>
        <w:pageBreakBefore w:val="0"/>
        <w:kinsoku/>
        <w:wordWrap/>
        <w:overflowPunct/>
        <w:topLinePunct w:val="0"/>
        <w:autoSpaceDE/>
        <w:autoSpaceDN/>
        <w:bidi w:val="0"/>
        <w:adjustRightInd/>
        <w:snapToGrid/>
        <w:spacing w:line="580" w:lineRule="exact"/>
        <w:jc w:val="right"/>
        <w:rPr>
          <w:rFonts w:hint="eastAsia" w:ascii="Nimbus Roman" w:hAnsi="Nimbus Roman" w:eastAsia="方正楷体_GBK" w:cs="方正楷体_GBK"/>
          <w:sz w:val="28"/>
          <w:szCs w:val="28"/>
          <w:lang w:val="en-US" w:eastAsia="zh-CN"/>
        </w:rPr>
      </w:pPr>
      <w:r>
        <w:rPr>
          <w:rFonts w:hint="eastAsia" w:ascii="Nimbus Roman" w:hAnsi="Nimbus Roman" w:eastAsia="方正楷体_GBK" w:cs="方正楷体_GBK"/>
          <w:sz w:val="28"/>
          <w:szCs w:val="28"/>
          <w:lang w:val="en-US" w:eastAsia="zh-CN"/>
        </w:rPr>
        <w:t xml:space="preserve">                                  </w:t>
      </w:r>
      <w:r>
        <w:rPr>
          <w:rFonts w:hint="eastAsia" w:ascii="Nimbus Roman" w:hAnsi="Nimbus Roman" w:eastAsia="方正仿宋_GBK" w:cs="Times New Roman"/>
          <w:sz w:val="24"/>
          <w:szCs w:val="24"/>
          <w:lang w:val="en-US" w:eastAsia="zh-CN"/>
        </w:rPr>
        <w:t xml:space="preserve"> 填表时间：2024年 月 日</w:t>
      </w:r>
    </w:p>
    <w:tbl>
      <w:tblPr>
        <w:tblStyle w:val="4"/>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10"/>
        <w:gridCol w:w="1830"/>
        <w:gridCol w:w="169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序号</w:t>
            </w:r>
          </w:p>
        </w:tc>
        <w:tc>
          <w:tcPr>
            <w:tcW w:w="2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部门或单位名称</w:t>
            </w:r>
          </w:p>
        </w:tc>
        <w:tc>
          <w:tcPr>
            <w:tcW w:w="3525" w:type="dxa"/>
            <w:gridSpan w:val="2"/>
            <w:noWrap w:val="0"/>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脱贫地区农副产品采购帮销</w:t>
            </w:r>
          </w:p>
        </w:tc>
        <w:tc>
          <w:tcPr>
            <w:tcW w:w="24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帮助脱贫地区销售旅游等服务金额（万元）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2010" w:type="dxa"/>
            <w:vMerge w:val="continue"/>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1830" w:type="dxa"/>
            <w:noWrap w:val="0"/>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直接采购金额（万元）</w:t>
            </w:r>
          </w:p>
        </w:tc>
        <w:tc>
          <w:tcPr>
            <w:tcW w:w="1695" w:type="dxa"/>
            <w:noWrap w:val="0"/>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outlineLvl w:val="9"/>
              <w:rPr>
                <w:rFonts w:hint="default" w:ascii="Nimbus Roman" w:hAnsi="Nimbus Roman" w:eastAsia="方正黑体_GBK" w:cs="Times New Roman"/>
                <w:color w:val="000000"/>
                <w:kern w:val="0"/>
                <w:sz w:val="24"/>
                <w:szCs w:val="24"/>
                <w:vertAlign w:val="baseline"/>
                <w:lang w:val="en-US" w:eastAsia="zh-CN" w:bidi="ar"/>
              </w:rPr>
            </w:pPr>
            <w:r>
              <w:rPr>
                <w:rFonts w:hint="default" w:ascii="Nimbus Roman" w:hAnsi="Nimbus Roman" w:eastAsia="方正黑体_GBK" w:cs="Times New Roman"/>
                <w:color w:val="000000"/>
                <w:kern w:val="0"/>
                <w:sz w:val="24"/>
                <w:szCs w:val="24"/>
                <w:vertAlign w:val="baseline"/>
                <w:lang w:val="en-US" w:eastAsia="zh-CN" w:bidi="ar"/>
              </w:rPr>
              <w:t>帮助销售金额（万元）</w:t>
            </w:r>
          </w:p>
        </w:tc>
        <w:tc>
          <w:tcPr>
            <w:tcW w:w="2415" w:type="dxa"/>
            <w:vMerge w:val="continue"/>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Nimbus Roman" w:hAnsi="Nimbus Roman"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2010"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1830"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1695"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Nimbus Roman" w:hAnsi="Nimbus Roman" w:eastAsia="方正楷体_GBK" w:cs="方正楷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2010"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1830"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1695"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c>
          <w:tcPr>
            <w:tcW w:w="2415"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580" w:lineRule="exact"/>
        <w:jc w:val="both"/>
        <w:outlineLvl w:val="9"/>
        <w:rPr>
          <w:rFonts w:hint="eastAsia" w:ascii="Nimbus Roman" w:hAnsi="Nimbus Roman" w:eastAsia="方正仿宋_GBK" w:cs="Times New Roman"/>
          <w:sz w:val="24"/>
          <w:szCs w:val="24"/>
          <w:lang w:val="en-US" w:eastAsia="zh-CN"/>
        </w:rPr>
      </w:pPr>
      <w:r>
        <w:rPr>
          <w:rFonts w:hint="eastAsia" w:ascii="Nimbus Roman" w:hAnsi="Nimbus Roman" w:eastAsia="方正仿宋_GBK" w:cs="Times New Roman"/>
          <w:sz w:val="24"/>
          <w:szCs w:val="24"/>
          <w:lang w:eastAsia="zh-CN"/>
        </w:rPr>
        <w:t>填表人：</w:t>
      </w:r>
      <w:r>
        <w:rPr>
          <w:rFonts w:hint="eastAsia" w:ascii="Nimbus Roman" w:hAnsi="Nimbus Roman" w:eastAsia="方正仿宋_GBK" w:cs="Times New Roman"/>
          <w:sz w:val="24"/>
          <w:szCs w:val="24"/>
          <w:lang w:val="en-US" w:eastAsia="zh-CN"/>
        </w:rPr>
        <w:t xml:space="preserve">                      联系电话：</w:t>
      </w:r>
    </w:p>
    <w:p>
      <w:pPr>
        <w:pStyle w:val="2"/>
        <w:keepNext w:val="0"/>
        <w:keepLines w:val="0"/>
        <w:pageBreakBefore w:val="0"/>
        <w:kinsoku/>
        <w:wordWrap/>
        <w:overflowPunct/>
        <w:topLinePunct w:val="0"/>
        <w:autoSpaceDE/>
        <w:autoSpaceDN/>
        <w:bidi w:val="0"/>
        <w:adjustRightInd/>
        <w:snapToGrid/>
        <w:spacing w:line="580" w:lineRule="exact"/>
        <w:rPr>
          <w:rFonts w:hint="eastAsia" w:ascii="Nimbus Roman" w:hAnsi="Nimbus Roman" w:eastAsia="方正楷体_GBK" w:cs="方正楷体_GBK"/>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outlineLvl w:val="9"/>
        <w:rPr>
          <w:rFonts w:hint="eastAsia" w:ascii="Nimbus Roman" w:hAnsi="Nimbus Roman" w:eastAsia="方正仿宋_GBK" w:cs="Times New Roman"/>
          <w:sz w:val="24"/>
          <w:szCs w:val="24"/>
          <w:lang w:val="en-US" w:eastAsia="zh-CN"/>
        </w:rPr>
      </w:pPr>
      <w:r>
        <w:rPr>
          <w:rFonts w:hint="eastAsia" w:ascii="Nimbus Roman" w:hAnsi="Nimbus Roman" w:eastAsia="方正仿宋_GBK" w:cs="Times New Roman"/>
          <w:sz w:val="24"/>
          <w:szCs w:val="24"/>
          <w:lang w:val="en-US" w:eastAsia="zh-CN"/>
        </w:rPr>
        <w:t>填表说明：</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480" w:firstLineChars="200"/>
        <w:outlineLvl w:val="9"/>
        <w:rPr>
          <w:rFonts w:hint="eastAsia" w:ascii="Nimbus Roman" w:hAnsi="Nimbus Roman" w:eastAsia="方正仿宋_GBK" w:cs="Times New Roman"/>
          <w:sz w:val="24"/>
          <w:szCs w:val="24"/>
          <w:lang w:val="en-US" w:eastAsia="zh-CN"/>
        </w:rPr>
      </w:pPr>
      <w:r>
        <w:rPr>
          <w:rFonts w:hint="eastAsia" w:ascii="Nimbus Roman" w:hAnsi="Nimbus Roman" w:eastAsia="方正仿宋_GBK" w:cs="Times New Roman"/>
          <w:sz w:val="24"/>
          <w:szCs w:val="24"/>
          <w:lang w:val="en-US" w:eastAsia="zh-CN"/>
        </w:rPr>
        <w:t>1.直接采购：是指本部门通过组织内部处室及各直属、联系单位和干部职工购买脱贫地区农产品的方式；</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480" w:firstLineChars="200"/>
        <w:outlineLvl w:val="9"/>
        <w:rPr>
          <w:rFonts w:hint="eastAsia" w:ascii="Nimbus Roman" w:hAnsi="Nimbus Roman" w:eastAsia="方正仿宋_GBK" w:cs="Times New Roman"/>
          <w:sz w:val="24"/>
          <w:szCs w:val="24"/>
          <w:lang w:val="en-US" w:eastAsia="zh-CN"/>
        </w:rPr>
      </w:pPr>
      <w:r>
        <w:rPr>
          <w:rFonts w:hint="eastAsia" w:ascii="Nimbus Roman" w:hAnsi="Nimbus Roman" w:eastAsia="方正仿宋_GBK" w:cs="Times New Roman"/>
          <w:sz w:val="24"/>
          <w:szCs w:val="24"/>
          <w:lang w:val="en-US" w:eastAsia="zh-CN"/>
        </w:rPr>
        <w:t>2.帮助销售：是指通过各类平台或举办产销对接活动等帮助脱贫地区销售农产品的方式。</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left"/>
        <w:textAlignment w:val="auto"/>
        <w:rPr>
          <w:rFonts w:hint="default" w:ascii="Nimbus Roman" w:hAnsi="Nimbus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Nimbus Roman" w:hAnsi="Nimbus Roman" w:eastAsia="方正小标宋_GBK" w:cs="方正小标宋_GBK"/>
          <w:sz w:val="44"/>
          <w:szCs w:val="44"/>
          <w:lang w:val="en-US" w:eastAsia="zh-CN"/>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DC0D4E-9AE0-42E0-BA2F-9862A1C2575B}"/>
  </w:font>
  <w:font w:name="Nimbus Roman">
    <w:panose1 w:val="00000000000000000000"/>
    <w:charset w:val="00"/>
    <w:family w:val="auto"/>
    <w:pitch w:val="default"/>
    <w:sig w:usb0="A00002AF" w:usb1="100178FF" w:usb2="00000000" w:usb3="00000000" w:csb0="0000009F" w:csb1="00000000"/>
    <w:embedRegular r:id="rId2" w:fontKey="{61B3CDB9-7BF3-4885-B1D0-10EC6CD1325E}"/>
  </w:font>
  <w:font w:name="方正黑体_GBK">
    <w:panose1 w:val="03000509000000000000"/>
    <w:charset w:val="86"/>
    <w:family w:val="auto"/>
    <w:pitch w:val="default"/>
    <w:sig w:usb0="00000001" w:usb1="080E0000" w:usb2="00000000" w:usb3="00000000" w:csb0="00040000" w:csb1="00000000"/>
    <w:embedRegular r:id="rId3" w:fontKey="{E6371772-9C02-49BD-99B7-14A7B7EA22B7}"/>
  </w:font>
  <w:font w:name="方正仿宋_GBK">
    <w:altName w:val="微软雅黑"/>
    <w:panose1 w:val="02000000000000000000"/>
    <w:charset w:val="86"/>
    <w:family w:val="auto"/>
    <w:pitch w:val="default"/>
    <w:sig w:usb0="00000000" w:usb1="00000000" w:usb2="00000000" w:usb3="00000000" w:csb0="00040000" w:csb1="00000000"/>
    <w:embedRegular r:id="rId4" w:fontKey="{6DF2CE92-5FCD-4B56-A75E-F759F34CC18C}"/>
  </w:font>
  <w:font w:name="方正小标宋_GBK">
    <w:panose1 w:val="02000000000000000000"/>
    <w:charset w:val="86"/>
    <w:family w:val="auto"/>
    <w:pitch w:val="default"/>
    <w:sig w:usb0="00000001" w:usb1="080E0000" w:usb2="00000000" w:usb3="00000000" w:csb0="00040000" w:csb1="00000000"/>
    <w:embedRegular r:id="rId5" w:fontKey="{65E5D948-8053-48C0-BE0F-AD25AE449F59}"/>
  </w:font>
  <w:font w:name="方正楷体_GBK">
    <w:panose1 w:val="03000509000000000000"/>
    <w:charset w:val="86"/>
    <w:family w:val="auto"/>
    <w:pitch w:val="default"/>
    <w:sig w:usb0="00000001" w:usb1="080E0000" w:usb2="00000000" w:usb3="00000000" w:csb0="00040000" w:csb1="00000000"/>
    <w:embedRegular r:id="rId6" w:fontKey="{6FE37B59-9CD4-4206-82AF-598320E5CE6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DZhMDk3NDg3OTJlNWFjMmQ2MjU3MDQ3MWI4MDkifQ=="/>
  </w:docVars>
  <w:rsids>
    <w:rsidRoot w:val="4F2C585E"/>
    <w:rsid w:val="4F2C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2024-01-19T08:20:00Z</dcterms:created>
  <dc:creator>Mela</dc:creator>
  <cp:lastModifiedBy>Mela</cp:lastModifiedBy>
  <dcterms:modified xsi:type="dcterms:W3CDTF">2024-01-19T08:20:52Z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44DF517BA1E844538C0A0ED9CC27A919_11</vt:lpwstr>
  </property>
</Properties>
</file>