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附件：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201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8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～2019年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度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河南省混凝土企业信用评价指标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  <w:lang w:eastAsia="zh-CN"/>
        </w:rPr>
        <w:t>（预拌混凝土企业）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2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</w:rPr>
        <w:t xml:space="preserve">企业名称：  </w:t>
      </w:r>
      <w:r>
        <w:rPr>
          <w:rFonts w:hint="eastAsia" w:ascii="黑体" w:hAnsi="黑体" w:eastAsia="黑体" w:cs="黑体"/>
          <w:b w:val="0"/>
          <w:bCs/>
          <w:sz w:val="24"/>
          <w:szCs w:val="21"/>
        </w:rPr>
        <w:t xml:space="preserve">                             </w:t>
      </w:r>
      <w:r>
        <w:rPr>
          <w:rFonts w:hint="eastAsia" w:ascii="黑体" w:hAnsi="黑体" w:eastAsia="黑体" w:cs="黑体"/>
          <w:b w:val="0"/>
          <w:bCs/>
          <w:sz w:val="28"/>
          <w:szCs w:val="22"/>
        </w:rPr>
        <w:t xml:space="preserve">  时 间：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2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</w:rPr>
        <w:t>当地协会名称（盖章）：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2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</w:rPr>
        <w:t>一、基本条件</w:t>
      </w:r>
    </w:p>
    <w:p>
      <w:pPr>
        <w:spacing w:line="140" w:lineRule="exact"/>
        <w:rPr>
          <w:rFonts w:hint="eastAsia" w:ascii="宋体" w:hAnsi="宋体"/>
          <w:color w:val="000000"/>
          <w:sz w:val="24"/>
        </w:rPr>
      </w:pPr>
    </w:p>
    <w:tbl>
      <w:tblPr>
        <w:tblStyle w:val="2"/>
        <w:tblW w:w="93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4464"/>
        <w:gridCol w:w="1245"/>
        <w:gridCol w:w="1740"/>
        <w:gridCol w:w="7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评价指标</w:t>
            </w:r>
          </w:p>
        </w:tc>
        <w:tc>
          <w:tcPr>
            <w:tcW w:w="4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分项考核指标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评分标准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不符合项描述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实际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11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条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446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有有效的营业执照和资质证书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应符合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1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遵守国家法律法规，维护行业利益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应符合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  <w:jc w:val="center"/>
        </w:trPr>
        <w:tc>
          <w:tcPr>
            <w:tcW w:w="11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46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企业有三年以上的生产历史，有批量生产能力，运营良好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应符合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1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46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企业已通过相关质量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体系认证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应符合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  <w:jc w:val="center"/>
        </w:trPr>
        <w:tc>
          <w:tcPr>
            <w:tcW w:w="11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46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是河南省建筑业协会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混凝土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会会员单位，履行会员义务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应符合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9" w:hRule="atLeast"/>
          <w:jc w:val="center"/>
        </w:trPr>
        <w:tc>
          <w:tcPr>
            <w:tcW w:w="11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46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配备湿混凝土清洗、砂石分离、回收设备并在生产中全程使用，废水净化、循环使用或达标排放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应符合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1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46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配备企业信息化管理系统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应符合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9" w:hRule="atLeast"/>
          <w:jc w:val="center"/>
        </w:trPr>
        <w:tc>
          <w:tcPr>
            <w:tcW w:w="11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46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期限内无重大亏损，不欠税，无本企业责任方的重大质量、安全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、环保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事故，无拖欠工资现象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应符合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2" w:hRule="atLeast"/>
          <w:jc w:val="center"/>
        </w:trPr>
        <w:tc>
          <w:tcPr>
            <w:tcW w:w="11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企业技术及管理水平在本地区处于领先地位，并具有较高知名度和影响力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应符合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 w:ascii="黑体" w:hAnsi="宋体" w:eastAsia="黑体"/>
          <w:b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</w:rPr>
        <w:t>二、诚信</w:t>
      </w:r>
      <w:r>
        <w:rPr>
          <w:rFonts w:hint="eastAsia" w:ascii="黑体" w:hAnsi="黑体" w:eastAsia="黑体" w:cs="黑体"/>
          <w:b w:val="0"/>
          <w:bCs/>
          <w:sz w:val="28"/>
          <w:szCs w:val="22"/>
          <w:lang w:eastAsia="zh-CN"/>
        </w:rPr>
        <w:t>体系</w:t>
      </w:r>
      <w:r>
        <w:rPr>
          <w:rFonts w:hint="eastAsia" w:ascii="黑体" w:hAnsi="黑体" w:eastAsia="黑体" w:cs="黑体"/>
          <w:b w:val="0"/>
          <w:bCs/>
          <w:sz w:val="28"/>
          <w:szCs w:val="22"/>
        </w:rPr>
        <w:t>建设(100分)</w:t>
      </w:r>
    </w:p>
    <w:p>
      <w:pPr>
        <w:spacing w:line="140" w:lineRule="exact"/>
        <w:rPr>
          <w:rFonts w:hint="eastAsia" w:ascii="宋体" w:hAnsi="宋体"/>
          <w:color w:val="000000"/>
          <w:sz w:val="24"/>
          <w:szCs w:val="24"/>
        </w:rPr>
      </w:pPr>
    </w:p>
    <w:tbl>
      <w:tblPr>
        <w:tblStyle w:val="2"/>
        <w:tblW w:w="9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4474"/>
        <w:gridCol w:w="1248"/>
        <w:gridCol w:w="1705"/>
        <w:gridCol w:w="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66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评价指标</w:t>
            </w:r>
          </w:p>
        </w:tc>
        <w:tc>
          <w:tcPr>
            <w:tcW w:w="4474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分项考核指标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评分标准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不符合项描述</w:t>
            </w:r>
          </w:p>
        </w:tc>
        <w:tc>
          <w:tcPr>
            <w:tcW w:w="807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实际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合同评审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及履约率  20分</w:t>
            </w:r>
          </w:p>
        </w:tc>
        <w:tc>
          <w:tcPr>
            <w:tcW w:w="447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应建立和执行合同评审程序，合同条款符合《合同法》等有关规定，供货合同履约率应在95％以上(非本企业原因不计)，凡达不到95％者应扣分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未建立扣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5分；每降低1％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扣2分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合格率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40分</w:t>
            </w:r>
          </w:p>
        </w:tc>
        <w:tc>
          <w:tcPr>
            <w:tcW w:w="4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混凝土出厂合格率应达到100％，达不到但尚未造成重大事故应扣分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每出现一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次扣5分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1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回访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20分</w:t>
            </w:r>
          </w:p>
        </w:tc>
        <w:tc>
          <w:tcPr>
            <w:tcW w:w="4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混凝土供应量达到2000 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以上的项目，服务回访不少于1次，并有回访记录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每缺一次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扣1分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1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回访记录中应无服务差的评价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出现差，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一次扣1分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11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有服务差的评价应立即整改，并有记录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无整改记录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一次扣3分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诚信记录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4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诚信经营,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诚实纳税，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无不良记录，不拖欠职工工资，全额缴纳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员工社会保险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有一次不良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记录扣5分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遵纪守法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lO分</w:t>
            </w:r>
          </w:p>
        </w:tc>
        <w:tc>
          <w:tcPr>
            <w:tcW w:w="4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应遵纪守法，未受当地政府主管部门处罚(包括通报)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每受处罚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一次扣5分</w:t>
            </w:r>
          </w:p>
        </w:tc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2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</w:rPr>
        <w:t>三、质量管理</w:t>
      </w:r>
      <w:r>
        <w:rPr>
          <w:rFonts w:hint="eastAsia" w:ascii="黑体" w:hAnsi="黑体" w:eastAsia="黑体" w:cs="黑体"/>
          <w:b w:val="0"/>
          <w:bCs/>
          <w:sz w:val="28"/>
          <w:szCs w:val="22"/>
          <w:lang w:eastAsia="zh-CN"/>
        </w:rPr>
        <w:t>体系</w:t>
      </w:r>
      <w:r>
        <w:rPr>
          <w:rFonts w:hint="eastAsia" w:ascii="黑体" w:hAnsi="黑体" w:eastAsia="黑体" w:cs="黑体"/>
          <w:b w:val="0"/>
          <w:bCs/>
          <w:sz w:val="28"/>
          <w:szCs w:val="22"/>
        </w:rPr>
        <w:t>（100分）</w:t>
      </w:r>
    </w:p>
    <w:p>
      <w:pPr>
        <w:spacing w:line="120" w:lineRule="exact"/>
        <w:rPr>
          <w:rFonts w:hint="eastAsia"/>
          <w:sz w:val="24"/>
          <w:szCs w:val="24"/>
        </w:rPr>
      </w:pPr>
    </w:p>
    <w:tbl>
      <w:tblPr>
        <w:tblStyle w:val="2"/>
        <w:tblW w:w="94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4514"/>
        <w:gridCol w:w="1327"/>
        <w:gridCol w:w="1695"/>
        <w:gridCol w:w="8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Header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评价指标</w:t>
            </w: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分项考核指标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评分标准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不符合项描述</w:t>
            </w: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实际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lO分</w:t>
            </w: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质量管理体系文件齐全，若企业为分公司，则应有本分公司专用的工作程序、生产流程的程序文件、记录表式、操作规程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缺一个文件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扣0.5分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责任制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8分</w:t>
            </w: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应有正副总经理、安全部门、技术部门、生产部门、供应部门、销售部门、财务部门、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运输部门、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试验室负责人及有关职能人员的岗位责任制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扣1分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试验人员应经过相应的教育培训，并经过任职资格确认，持证上岗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扣1分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atLeast"/>
          <w:jc w:val="center"/>
        </w:trPr>
        <w:tc>
          <w:tcPr>
            <w:tcW w:w="11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有生产必须的试验、检测设备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扣2分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50分</w:t>
            </w: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有生产必须的有效版本的原材料、产品标准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及检测方法标准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扣0.5分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检测设备定期检定合格，有检定证书；自检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设备应有自检记录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扣0.5分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atLeast"/>
          <w:jc w:val="center"/>
        </w:trPr>
        <w:tc>
          <w:tcPr>
            <w:tcW w:w="11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原材料(水泥、砂、石、掺合料、外加剂等)必须按标准要求抽样检验，并有检验记录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每发现一次不按要求执行扣1分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1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有标养室温、湿度记录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扣O．5分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有混凝土试配记录、混凝土配合比通知单和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调整记录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缺一次扣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0.5分，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没有扣5分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有混凝土坍落度测试记录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缺一次扣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0.5分，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没有扣5分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有混凝土强度试验记录和评定结果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缺一次扣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0.5分，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没有扣20分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应建立并保存试验检测资料档案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0.5分，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没有扣5分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7" w:hRule="atLeast"/>
          <w:jc w:val="center"/>
        </w:trPr>
        <w:tc>
          <w:tcPr>
            <w:tcW w:w="11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32分</w:t>
            </w: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质量手册、程序文件、作业指导书等体系文件应传达至每一相关人员，并被其理解和正确执行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有一人不掌握扣0.5分；整体水平较差扣2分；整体水平差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有原材料质量保证书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有原材料进料台帐及水泥使用量统计报表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有混凝土搅拌(电脑)记录及月报表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0.5分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有混凝土运输调度单及回执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扣0.2分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有混凝土泵送记录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（按合同双方约定执行）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扣0.2分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有质量体系内审报告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扣4分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有质量体系年度评审报告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缺一项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扣4分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2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</w:rPr>
        <w:t>四、企业文化、设备管理、环境保护(100分)</w:t>
      </w:r>
    </w:p>
    <w:p>
      <w:pPr>
        <w:rPr>
          <w:rFonts w:hint="eastAsia"/>
          <w:sz w:val="24"/>
          <w:szCs w:val="24"/>
        </w:rPr>
      </w:pPr>
    </w:p>
    <w:tbl>
      <w:tblPr>
        <w:tblStyle w:val="2"/>
        <w:tblW w:w="95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4505"/>
        <w:gridCol w:w="10"/>
        <w:gridCol w:w="1225"/>
        <w:gridCol w:w="1665"/>
        <w:gridCol w:w="8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评价指标</w:t>
            </w:r>
          </w:p>
        </w:tc>
        <w:tc>
          <w:tcPr>
            <w:tcW w:w="4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分项考核指标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评分标准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不符合项描述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实际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15分</w:t>
            </w:r>
          </w:p>
        </w:tc>
        <w:tc>
          <w:tcPr>
            <w:tcW w:w="4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企业有统一标识，混凝土搅拌车、泵车有统一标志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有企业精神、企业目标宣传标牌，生产场地清洁有序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有员工守则，建立职工民主管理制度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搅拌系统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4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符合相应的资质要求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简易站每套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扣10分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搅拌车、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泵车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4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符合相应的资质要求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少一辆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扣0.5分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车泵、拖泵齐全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少一种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扣2.5分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15分</w:t>
            </w:r>
          </w:p>
        </w:tc>
        <w:tc>
          <w:tcPr>
            <w:tcW w:w="45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搅拌系统、搅拌车、泵维修保养有台帐、有计划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台帐不完整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扣2分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无计划扣2分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保养有记录，记录完整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记录不完整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扣2分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搅拌系统计量装置必须定期校核和标定，并做好记录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未达到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扣4分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安全生产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4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有安全标志、安全防护、安全用电、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车辆运输安全、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消防设施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每项2分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废水处理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45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落实节水措施，生产用水循环利用，并达到废水零排放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达标排放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扣2分；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不达标排放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扣lO分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废混凝土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45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砂、石分离设备使用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有，未用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扣5分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没有，扣10份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粉尘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lO分</w:t>
            </w:r>
          </w:p>
        </w:tc>
        <w:tc>
          <w:tcPr>
            <w:tcW w:w="4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原材料封闭式堆放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开放式堆放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扣1分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exac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收尘效果好，搅拌楼基本无粉尘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搅拌楼有较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多粉尘扣3分；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2" w:hRule="exac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全厂粉尘多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扣5分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exact"/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10分</w:t>
            </w:r>
          </w:p>
        </w:tc>
        <w:tc>
          <w:tcPr>
            <w:tcW w:w="45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按当地对工矿企业的要求达标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未达标扣5分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exact"/>
          <w:jc w:val="center"/>
        </w:trPr>
        <w:tc>
          <w:tcPr>
            <w:tcW w:w="12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1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无绿化扣10分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6321A"/>
    <w:rsid w:val="40C6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2020-10-15T03:49:00Z</dcterms:created>
  <dc:creator>豫JX聂</dc:creator>
  <cp:lastModifiedBy>豫JX聂</cp:lastModifiedBy>
  <dcterms:modified xsi:type="dcterms:W3CDTF">2020-10-15T03:53:40Z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